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EDITORIAL </w:t>
      </w:r>
    </w:p>
    <w:p w:rsidR="00000000" w:rsidDel="00000000" w:rsidP="00000000" w:rsidRDefault="00000000" w:rsidRPr="00000000" w14:paraId="00000002">
      <w:pPr>
        <w:widowControl w:val="1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</w:rPr>
        <w:drawing>
          <wp:inline distB="114300" distT="114300" distL="114300" distR="114300">
            <wp:extent cx="5402850" cy="127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02850" cy="1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after="30" w:before="30" w:line="360" w:lineRule="auto"/>
        <w:ind w:left="0" w:firstLine="708.6614173228347"/>
        <w:jc w:val="both"/>
        <w:rPr>
          <w:rFonts w:ascii="Arial" w:cs="Arial" w:eastAsia="Arial" w:hAnsi="Arial"/>
          <w:color w:val="00000a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 ponto de partida para a concepção da Revista Brasileira de Operações Antibombas (RBOA) surgiu da constatação da carência de produções científicas no cenário nacional sobre a atividade policial especializada de Operações Antibombas. </w:t>
      </w:r>
      <w:r w:rsidDel="00000000" w:rsidR="00000000" w:rsidRPr="00000000">
        <w:rPr>
          <w:rFonts w:ascii="Arial" w:cs="Arial" w:eastAsia="Arial" w:hAnsi="Arial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color w:val="00000a"/>
          <w:rtl w:val="0"/>
        </w:rPr>
        <w:t xml:space="preserve">e para a área de Segurança Pública no geral já há dificuldade de acesso ao conhecimento sistematizado e também de boas práticas de fomento à produção científica e aproximação com o universo acadêmico, imagine para uma área tão restrita e específica, que envolve assuntos tão peculiares como explosivos, explosões, bombas, eletrônica, terrorismo, agentes QBRN (químicos, biológicos, radiológicos e nucleares), entre outras possibilidades. </w:t>
      </w:r>
    </w:p>
    <w:p w:rsidR="00000000" w:rsidDel="00000000" w:rsidP="00000000" w:rsidRDefault="00000000" w:rsidRPr="00000000" w14:paraId="00000006">
      <w:pPr>
        <w:widowControl w:val="1"/>
        <w:spacing w:after="30" w:before="30" w:line="36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Sempre que havia a necessidade de um olhar mais profundo sobre algum assunto das diversas áreas do conhecimento relacionadas com a atividade de Operações Antibombas, além da tradicional “apostila” e dos “slides policiais”, poucos livros eram encontrados e mais raro ainda era encontrar artigos, monografias, dissertações ou teses escritas por integrantes de unidades antibombas.</w:t>
      </w:r>
    </w:p>
    <w:p w:rsidR="00000000" w:rsidDel="00000000" w:rsidP="00000000" w:rsidRDefault="00000000" w:rsidRPr="00000000" w14:paraId="00000007">
      <w:pPr>
        <w:widowControl w:val="1"/>
        <w:spacing w:after="30" w:before="30" w:line="36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Neste sentido, a RBOA nasce com o objetivo de fomentar a produção de conhecimento científico voltado para o universo da atividade de Operações Antibombas e consequentemente dar visibilidade aos trabalhos que serão desenvolvidos, tendo em vista que a filosofia editorial parte do princípio de que o registro e compartilhamento das nossas experiências talvez seja uma das mais fantásticas formas de contribuição com a história da humanidade.</w:t>
      </w:r>
    </w:p>
    <w:p w:rsidR="00000000" w:rsidDel="00000000" w:rsidP="00000000" w:rsidRDefault="00000000" w:rsidRPr="00000000" w14:paraId="00000008">
      <w:pPr>
        <w:widowControl w:val="1"/>
        <w:spacing w:after="30" w:before="30" w:line="36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tempos de “Sociedade do Conhecimento” é preciso fortalecer os mecanismos de agregar valor ao conhecimento estratégico necessário à aprendizagem organizacional das unidades antibombas brasileiras.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1"/>
        <w:spacing w:after="240" w:before="240" w:line="240" w:lineRule="auto"/>
        <w:ind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Vida longa aos Técnicos Explosivistas!!!</w:t>
      </w:r>
    </w:p>
    <w:p w:rsidR="00000000" w:rsidDel="00000000" w:rsidP="00000000" w:rsidRDefault="00000000" w:rsidRPr="00000000" w14:paraId="0000000A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Capitão QOPM Ilson de Oliveira Junior,</w:t>
      </w:r>
    </w:p>
    <w:p w:rsidR="00000000" w:rsidDel="00000000" w:rsidP="00000000" w:rsidRDefault="00000000" w:rsidRPr="00000000" w14:paraId="0000000C">
      <w:pPr>
        <w:ind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Técnico Explosivista Policial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Editor da Revista Brasileira de Operações Antibombas</w:t>
      </w:r>
    </w:p>
    <w:sectPr>
      <w:headerReference r:id="rId7" w:type="default"/>
      <w:pgSz w:h="16838" w:w="11906"/>
      <w:pgMar w:bottom="1133.8582677165355" w:top="283.46456692913387" w:left="1700.7874015748032" w:right="1700.7874015748032" w:header="720" w:footer="720"/>
      <w:pgNumType w:start="4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jc w:val="right"/>
      <w:rPr>
        <w:rFonts w:ascii="Calibri" w:cs="Calibri" w:eastAsia="Calibri" w:hAnsi="Calibri"/>
        <w:b w:val="1"/>
        <w:sz w:val="22"/>
        <w:szCs w:val="22"/>
      </w:rPr>
    </w:pPr>
    <w:r w:rsidDel="00000000" w:rsidR="00000000" w:rsidRPr="00000000">
      <w:rPr>
        <w:rFonts w:ascii="Calibri" w:cs="Calibri" w:eastAsia="Calibri" w:hAnsi="Calibri"/>
        <w:b w:val="1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_BR"/>
      </w:rPr>
    </w:rPrDefault>
    <w:pPrDefault>
      <w:pPr>
        <w:widowControl w:val="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